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baseline"/>
          <w:rtl w:val="0"/>
        </w:rPr>
        <w:t xml:space="preserve">ИНФОРМАЦИЯ ДЛЯ ПОТРЕБИТЕЛЯ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Актуальность на дату: 10.04.2018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00.0" w:type="dxa"/>
        <w:jc w:val="left"/>
        <w:tblInd w:w="0.0" w:type="dxa"/>
        <w:tblLayout w:type="fixed"/>
        <w:tblLook w:val="0000"/>
      </w:tblPr>
      <w:tblGrid>
        <w:gridCol w:w="4060"/>
        <w:gridCol w:w="3660"/>
        <w:gridCol w:w="3680"/>
        <w:tblGridChange w:id="0">
          <w:tblGrid>
            <w:gridCol w:w="4060"/>
            <w:gridCol w:w="3660"/>
            <w:gridCol w:w="3680"/>
          </w:tblGrid>
        </w:tblGridChange>
      </w:tblGrid>
      <w:tr>
        <w:trPr>
          <w:trHeight w:val="1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Наименование медицинского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Исполнение, список принадлежностей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Номер регистрационного удостоверения РОСЗДРАВНАДЗОРА на медицинское изделие, дата его выдачи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Ирригатор полости рта AQUAJET c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LD-A7, LD-A8 Принадлежности: LD-SA01, LD-SA02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2011/09275, 07.07.2016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и частоты пульса цифровой LD, варианты исполнения LD12, LD12S, LD22, LD23, LD23A, LD23L, LD51, LD51A, LD51U, LD51S,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Cuff-LDA, Cuff-LDA2, Cuff-LDU, Cuff-LD12, LD-S035, LD-N057, компакт-диск, сумка/футляр, элементы питания ААА х 1.5В, элементы питания АА х 1.5В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№ РЗН 2015/2901 от 28.07.2015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Ингалятор компрессорный LD с принадлежностями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LD-210C, LD-211C, LD-212C. </w:t>
              <w:br w:type="textWrapping"/>
              <w:t xml:space="preserve">Принадлежности: LD-N105, LD-N110, LD-N120, LD-N130, LD-N140, LD-N001, LD-N002, LD-N003, LD-N022, LD-N040, LD-N041, LD-N042, LD-N051, LD-N058, LD-N059, LD-N055, набор для ингаляции №1, пластиковый бокс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2011/09249, 23.05.2016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Ингалятор ультразвуковой LD с принадлежностями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LD-207U, LD-250U, LD-265U. Принадлежности: LD-N060, LD-N061, LD-N062, крышка ингаляционной камеры, LD-N021, LD-N023, LD-N040, LD-N041, LD-N042, LD-N043, переходник для мундштука, переходник для маски, LD-N050, LD-N080, LD-N010, LD-N054, LD-N053, LD-N056, элементы питания АА, 1.5В, предохранитель, сумочка.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2011/09250, 23.05.2016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LD-60, LD-61, LD-70, LD-70NR, LD-71, LD-71A, LD-80, LD-80 Silver, LD-81, LD-90, LD-91, LD-100.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Принадлежности: LD-S013, LD-S026, LD-S027, LD-S048, LD-S049, LD-Cuff (C1N, C2N, C1I, C2I, N1C, N2C, C1C, C2C, N1A, N2A, C1A, C2A, N1L, N2L, C1L, C2L, C1T, C2T, N1AR, N2AR, N1LR, N2LR, PN2AR, PN2LR), LD-S01A, LD-S01N, LD-S01I, LD-S01C, LD-S01L, LD-S01T, LD-S02A, LD-S02N, LD-S02I, LD-S02C, LD-S02L, LD-S02T, LD-S058A, LD-S058L, LD-S014, LD-S050, LD-S051, LD-S052, LD-S068, LD-S015, LD-S053, LD-S054, LD-S055, LD-S016, LD-S056, LD Prof-Plus, LD-S059, LD-S060.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2012/11653,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цифровой LD20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CUFF-LDA, LD-N020, ICR123A, СУМКА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2009/04354,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Термометр медицинский цифровой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LD-300, LD-301, LD-302, LD-303, LD-304, LD-305. Принадлежности: LD-T01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2012/11648,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Стетоскоп LD c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after="160" w:before="0" w:line="254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LD Prof-Plus, LD Prof-I, LD Prof-II, LD Prof-III, LD Prof-IV, LD Focus, LD Cardio, LD Medic, LD Special (длина трубок 56 см. или 72 см.), LD SteTime. Принадлежности: LD-S025, LD-S025a, LD-S017, LD-S017b, LD-S017g, LD-S028, LD-S037, LD-S038, LD-S018, LD-S018g, LD-S018bm, LD-S041, LD-S042, LD-S044, LD-S047, LD-S047bm, LD-S047nm, LD-S021, LD-S022, LD-S023, LD-S024, LD-S062, LD-S040, LD-S045, LD-S020, LD-S039, LD-S029, LD-S043, LD-S067, LD-S063, LD-S019, LD-S036, LD-S066, LD-S046, колокола пластиковые малые, колокола пластиковые большие, колокола пластиковые неонатальные, диафрагмы малые, сумка-футляр пластиковый для дополнительных аксессуаров: LD-S065, LD-S034.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2008/01941, 17.05.2016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первичной визуальной диагностики LD-V09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6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2012/13398,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и частоты пульса цифровые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60" w:before="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Варианты исполнения: LD2, LD3, LD3а, LD4, LD5, LD5а, LD8. Принадлежности: Cuff-LDA, Cuff-LD8, LD-S035, LD-N057, элементы питания ААА х 1.5В, элементы питания АА х 1.5В (LR6), сумка, футляр.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2012/11647, 11.05.2016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Прибор для измерения артериального давления и частоты пульса цифровой LD с принадлежностями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160" w:before="0" w:lineRule="auto"/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Варианты исполнения: LD1, LD11, LD3s, LD6, LD7, LD30. Принадлежности: Cuff-LDA, Cuff-LDA2, LD-S035, LD-N057, сумка, футляр, подставка, элементы питания ААА х 1.5В, элементы питания АА х 1.5В (LR6), элементы питания CR2020.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  <w:rtl w:val="0"/>
              </w:rPr>
              <w:t xml:space="preserve">ФСЗ 2009/04355, 11.05.2016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contextualSpacing w:val="0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Импортер и уполномоченный представитель производителя в РФ: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ООО "Фирма К и К", полное наименование организации - Общество с ограниченной ответственностью "Фирма Консалтинг и Коммерция"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Юридический адрес – 117218, г. Москва, ул. Новочеремушкинская, дом 34, корпус 1, пом.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Адрес сервисной службы - 117218, г. Москва, ул. Новочеремушкинская, д. 34, корп. 1, офис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Почтовый адрес (для писем) - 117218, г. Москва, а/я 36, "Фирма К и К" ООО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Контактный телефон (многоканальный) - (495) 718-88-00 доб. номер факса 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48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vertAlign w:val="baseline"/>
          <w:rtl w:val="0"/>
        </w:rPr>
        <w:t xml:space="preserve">E-mail: info@kkrus.com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Расшифровка символов на упаковке приборов:</w:t>
      </w:r>
      <w:r w:rsidDel="00000000" w:rsidR="00000000" w:rsidRPr="00000000">
        <w:rPr>
          <w:rtl w:val="0"/>
        </w:rPr>
      </w:r>
    </w:p>
    <w:tbl>
      <w:tblPr>
        <w:tblStyle w:val="Table2"/>
        <w:tblW w:w="9446.000000000002" w:type="dxa"/>
        <w:jc w:val="left"/>
        <w:tblInd w:w="0.0" w:type="dxa"/>
        <w:tblLayout w:type="fixed"/>
        <w:tblLook w:val="0000"/>
      </w:tblPr>
      <w:tblGrid>
        <w:gridCol w:w="1843"/>
        <w:gridCol w:w="2673"/>
        <w:gridCol w:w="100"/>
        <w:gridCol w:w="1843"/>
        <w:gridCol w:w="2987"/>
        <w:tblGridChange w:id="0">
          <w:tblGrid>
            <w:gridCol w:w="1843"/>
            <w:gridCol w:w="2673"/>
            <w:gridCol w:w="100"/>
            <w:gridCol w:w="1843"/>
            <w:gridCol w:w="2987"/>
          </w:tblGrid>
        </w:tblGridChange>
      </w:tblGrid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33400" cy="436245"/>
                  <wp:effectExtent b="0" l="0" r="0" t="0"/>
                  <wp:docPr id="8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36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соответствия требованиям Российским стандартам.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56"/>
                <w:szCs w:val="56"/>
                <w:vertAlign w:val="baseline"/>
                <w:rtl w:val="0"/>
              </w:rPr>
              <w:t xml:space="preserve">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Серийный номер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89000" cy="303530"/>
                  <wp:effectExtent b="0" l="0" r="0" t="0"/>
                  <wp:docPr id="10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303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соответствия медицинской директиве ЕС.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48310" cy="526415"/>
                  <wp:effectExtent b="0" l="0" r="0" t="0"/>
                  <wp:docPr id="9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526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Знак соответствия требованиям стандартов Украины.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93700" cy="303530"/>
                  <wp:effectExtent b="0" l="0" r="0" t="0"/>
                  <wp:docPr id="12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03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соответствия директиве ЕС.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543560" cy="559435"/>
                  <wp:effectExtent b="0" l="0" r="0" t="0"/>
                  <wp:docPr id="11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59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Знак включения в Государственный реестр средств измерения Украины.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24510" cy="523240"/>
                  <wp:effectExtent b="0" l="0" r="0" t="0"/>
                  <wp:docPr id="14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23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Знак включения в Государственный реестр средств измерения РФ.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09575" cy="479425"/>
                  <wp:effectExtent b="0" l="0" r="0" t="0"/>
                  <wp:docPr id="13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79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Производитель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23620" cy="405130"/>
                  <wp:effectExtent b="0" l="0" r="0" t="0"/>
                  <wp:docPr id="16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4051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Номер и дата регистрации медицинского изделия в Росздравнадзоре РФ.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504190" cy="763270"/>
                  <wp:effectExtent b="0" l="0" r="0" t="0"/>
                  <wp:docPr id="15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763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Требуется особая утилизация согласно национального законодательства.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6250" cy="507365"/>
                  <wp:effectExtent b="0" l="0" r="0" t="0"/>
                  <wp:docPr id="19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073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Рабочая часть типа BF (степень защиты от поражения электрическим током, токи утечки).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vertAlign w:val="baseline"/>
                <w:rtl w:val="0"/>
              </w:rPr>
              <w:t xml:space="preserve">IP21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52.00000000000003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Степени защиты корпуса прибора обеспечивает препятствие попадания внутрь твердых объектов диаметром не менее 1,25 сантиметров (пальцы, карандаши) и вертикальных капель жидкости малой интенсивности.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80670" cy="447675"/>
                  <wp:effectExtent b="0" l="0" r="0" t="0"/>
                  <wp:docPr id="17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160" w:before="0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Рабочая часть типа B (степень защиты от поражения электрическим током, токи утечки).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56"/>
                <w:szCs w:val="56"/>
                <w:vertAlign w:val="baseline"/>
                <w:rtl w:val="0"/>
              </w:rPr>
              <w:t xml:space="preserve">IP22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Степени защиты корпуса прибора обеспечивает препятствие попадания внутрь твердых объектов диаметром не менее 1,25 сантиметров (пальцы, карандаши) и капель жидкости малой интенсивности в направлении от вертикальной направленности до угла не более 15 градусов.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27990" cy="414020"/>
                  <wp:effectExtent b="0" l="0" r="0" t="0"/>
                  <wp:docPr id="18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1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Изделие класса II. Защита от поражения электрическим током.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Rule="auto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580390" cy="513715"/>
                  <wp:effectExtent b="0" l="0" r="0" t="0"/>
                  <wp:docPr id="20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513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Нестерильно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03530" cy="360045"/>
                  <wp:effectExtent b="0" l="0" r="0" t="0"/>
                  <wp:docPr id="21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Дата изготовления.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95300" cy="508000"/>
                  <wp:effectExtent b="0" l="0" r="0" t="0"/>
                  <wp:docPr id="22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Европейская программа «Прием и вторичная переработка».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42925" cy="252095"/>
                  <wp:effectExtent b="0" l="0" r="0" t="0"/>
                  <wp:docPr id="23" name="image50.png"/>
                  <a:graphic>
                    <a:graphicData uri="http://schemas.openxmlformats.org/drawingml/2006/picture">
                      <pic:pic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52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Представитель в Евросоюзе.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85140" cy="484505"/>
                  <wp:effectExtent b="0" l="0" r="0" t="0"/>
                  <wp:docPr id="24" name="image51.png"/>
                  <a:graphic>
                    <a:graphicData uri="http://schemas.openxmlformats.org/drawingml/2006/picture">
                      <pic:pic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84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Соответствует техническому регламенту Таможенного союза.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13715" cy="414020"/>
                  <wp:effectExtent b="0" l="0" r="0" t="0"/>
                  <wp:docPr id="25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414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Обратитесь к руководству по эксплуатации.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991235" cy="515620"/>
                  <wp:effectExtent b="0" l="0" r="0" t="0"/>
                  <wp:docPr id="26" name="image53.png"/>
                  <a:graphic>
                    <a:graphicData uri="http://schemas.openxmlformats.org/drawingml/2006/picture">
                      <pic:pic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515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2.00000000000003" w:lineRule="auto"/>
              <w:ind w:left="0" w:right="421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Штриховой и цифровой код товара согласно классификатора Европейской Ассоциации EAN-13.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04825" cy="504190"/>
                  <wp:effectExtent b="0" l="0" r="0" t="0"/>
                  <wp:docPr id="27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160" w:before="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Обратитесь к руководству по эксплуатации.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816610" cy="495300"/>
                  <wp:effectExtent b="0" l="0" r="0" t="0"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Ограничение влажности окружающей среды при транспортировке/хранении/эксплуатации.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90525" cy="488315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883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60" w:before="0" w:line="256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Беречь от влаги.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vertAlign w:val="baseline"/>
              </w:rPr>
              <w:drawing>
                <wp:inline distB="0" distT="0" distL="114300" distR="114300">
                  <wp:extent cx="911225" cy="474980"/>
                  <wp:effectExtent b="0" l="0" r="0" t="0"/>
                  <wp:docPr id="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474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Ограничение температуры окружающей среды при транспортировке/хранении/эксплуатации.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09600" cy="784225"/>
                  <wp:effectExtent b="0" l="0" r="0" t="0"/>
                  <wp:docPr id="4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84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160" w:before="124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Соответствует Европейской директиве RoHS (Restriction of Hazardous Substances) - ограничения содержания вредных веществ в продукции.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461645" cy="292735"/>
                  <wp:effectExtent b="0" l="0" r="0" t="0"/>
                  <wp:docPr id="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92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Используйте внутри помещения.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before="0" w:lineRule="auto"/>
              <w:contextualSpacing w:val="0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88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iosCond" w:cs="HeliosCond" w:eastAsia="HeliosCond" w:hAnsi="HeliosC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18870" cy="300990"/>
                  <wp:effectExtent b="0" l="0" r="0" t="0"/>
                  <wp:docPr id="6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300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160" w:before="0" w:line="252.00000000000003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Соответствие европейским стандартам по электро-магнитной совместимости медицинских электрических приборов.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Rule="auto"/>
              <w:contextualSpacing w:val="0"/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vertAlign w:val="baseline"/>
              </w:rPr>
              <w:drawing>
                <wp:inline distB="0" distT="0" distL="114300" distR="114300">
                  <wp:extent cx="1119505" cy="305435"/>
                  <wp:effectExtent b="0" l="0" r="0" t="0"/>
                  <wp:docPr id="7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305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160" w:before="101" w:line="252.00000000000003" w:lineRule="auto"/>
              <w:ind w:left="0" w:right="191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Соответствие европейским стандартам по электромагнитной совместимости медицинских электрических приборов.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before="0" w:line="480" w:lineRule="auto"/>
        <w:contextualSpacing w:val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480" w:lineRule="auto"/>
        <w:contextualSpacing w:val="0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Поверка тонометров осуществляется по документу Р 50.2.032-2004 Рекомендации по метрологии «Измерители артериального давления неинвазивные. Методика поверки». Знак утверждения типа наносится на руководство по эксплуатации. Электронную копию свидетельства о поверке Вы можете найти на сайте: www.littledoctor.ru по наименованию, модели и серийному номеру прибора. Оригинал свидетельства находится у Уполномоченного представителя производителя.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40" w:lineRule="auto"/>
        <w:contextualSpacing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Поверку термометров осуществляется в соответствии с МП РТ 1160-2007 «Термометры электронные медицинские цифровые LD-300, LD-301, LD-302, LD-303. Методика поверки».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contextualSpacing w:val="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Знак утверждения типа наносится на руководство по эксплуатации. Электронную копию свидетельства о поверке Вы можете найти на сайте: www.littledoctor.ru по наименованию, модели и серийному номеру прибора. Оригинал свидетельства находится у Уполномоченного представителя производителя.</w:t>
      </w:r>
      <w:r w:rsidDel="00000000" w:rsidR="00000000" w:rsidRPr="00000000">
        <w:rPr>
          <w:rtl w:val="0"/>
        </w:rPr>
      </w:r>
    </w:p>
    <w:sectPr>
      <w:pgSz w:h="11906" w:w="16838"/>
      <w:pgMar w:bottom="1418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HeliosCo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40.0" w:type="dxa"/>
        <w:bottom w:w="57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9.png"/><Relationship Id="rId22" Type="http://schemas.openxmlformats.org/officeDocument/2006/relationships/image" Target="media/image51.png"/><Relationship Id="rId21" Type="http://schemas.openxmlformats.org/officeDocument/2006/relationships/image" Target="media/image50.png"/><Relationship Id="rId24" Type="http://schemas.openxmlformats.org/officeDocument/2006/relationships/image" Target="media/image53.png"/><Relationship Id="rId23" Type="http://schemas.openxmlformats.org/officeDocument/2006/relationships/image" Target="media/image5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9.png"/><Relationship Id="rId26" Type="http://schemas.openxmlformats.org/officeDocument/2006/relationships/image" Target="media/image6.png"/><Relationship Id="rId25" Type="http://schemas.openxmlformats.org/officeDocument/2006/relationships/image" Target="media/image54.png"/><Relationship Id="rId28" Type="http://schemas.openxmlformats.org/officeDocument/2006/relationships/image" Target="media/image13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0.png"/><Relationship Id="rId29" Type="http://schemas.openxmlformats.org/officeDocument/2006/relationships/image" Target="media/image16.png"/><Relationship Id="rId7" Type="http://schemas.openxmlformats.org/officeDocument/2006/relationships/image" Target="media/image32.png"/><Relationship Id="rId8" Type="http://schemas.openxmlformats.org/officeDocument/2006/relationships/image" Target="media/image31.png"/><Relationship Id="rId31" Type="http://schemas.openxmlformats.org/officeDocument/2006/relationships/image" Target="media/image28.png"/><Relationship Id="rId30" Type="http://schemas.openxmlformats.org/officeDocument/2006/relationships/image" Target="media/image17.png"/><Relationship Id="rId11" Type="http://schemas.openxmlformats.org/officeDocument/2006/relationships/image" Target="media/image41.png"/><Relationship Id="rId10" Type="http://schemas.openxmlformats.org/officeDocument/2006/relationships/image" Target="media/image38.png"/><Relationship Id="rId32" Type="http://schemas.openxmlformats.org/officeDocument/2006/relationships/image" Target="media/image29.png"/><Relationship Id="rId13" Type="http://schemas.openxmlformats.org/officeDocument/2006/relationships/image" Target="media/image43.png"/><Relationship Id="rId12" Type="http://schemas.openxmlformats.org/officeDocument/2006/relationships/image" Target="media/image40.png"/><Relationship Id="rId15" Type="http://schemas.openxmlformats.org/officeDocument/2006/relationships/image" Target="media/image46.png"/><Relationship Id="rId14" Type="http://schemas.openxmlformats.org/officeDocument/2006/relationships/image" Target="media/image42.png"/><Relationship Id="rId17" Type="http://schemas.openxmlformats.org/officeDocument/2006/relationships/image" Target="media/image45.png"/><Relationship Id="rId16" Type="http://schemas.openxmlformats.org/officeDocument/2006/relationships/image" Target="media/image44.png"/><Relationship Id="rId19" Type="http://schemas.openxmlformats.org/officeDocument/2006/relationships/image" Target="media/image48.png"/><Relationship Id="rId18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